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B7" w:rsidRPr="00223689" w:rsidRDefault="00875DB7" w:rsidP="00875DB7">
      <w:pPr>
        <w:rPr>
          <w:rFonts w:ascii="Arial" w:hAnsi="Arial"/>
          <w:sz w:val="22"/>
          <w:szCs w:val="22"/>
        </w:rPr>
      </w:pPr>
    </w:p>
    <w:tbl>
      <w:tblPr>
        <w:tblW w:w="9073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9"/>
        <w:gridCol w:w="3150"/>
        <w:gridCol w:w="2204"/>
        <w:gridCol w:w="900"/>
      </w:tblGrid>
      <w:tr w:rsidR="00875DB7" w:rsidRPr="002E1FE3" w:rsidTr="0099479C">
        <w:trPr>
          <w:trHeight w:val="176"/>
          <w:jc w:val="center"/>
        </w:trPr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B7" w:rsidRPr="00B1557A" w:rsidRDefault="00875DB7" w:rsidP="00695CBC">
            <w:pPr>
              <w:ind w:right="-33"/>
              <w:rPr>
                <w:rFonts w:cs="Times New Roman"/>
              </w:rPr>
            </w:pPr>
            <w:r w:rsidRPr="00B1557A">
              <w:rPr>
                <w:rFonts w:cs="Times New Roman"/>
                <w:b/>
                <w:bCs/>
              </w:rPr>
              <w:t>INTERESSADO/</w:t>
            </w:r>
            <w:r w:rsidRPr="00B1557A">
              <w:rPr>
                <w:rFonts w:cs="Times New Roman"/>
                <w:bCs/>
              </w:rPr>
              <w:t>CÂMARA MUNICIPAL DE CAMPO GRANDE</w:t>
            </w:r>
            <w:proofErr w:type="gramStart"/>
            <w:r w:rsidRPr="00B1557A">
              <w:rPr>
                <w:rFonts w:cs="Times New Roman"/>
                <w:bCs/>
              </w:rPr>
              <w:t xml:space="preserve">  </w:t>
            </w:r>
            <w:proofErr w:type="gramEnd"/>
            <w:r w:rsidRPr="00B1557A">
              <w:rPr>
                <w:rFonts w:cs="Times New Roman"/>
                <w:bCs/>
              </w:rPr>
              <w:t>- PRESIDENTE DA COMISSÃO PERMANENTE DE EDUCAÇÃO E DESPORTO - VEREADORA CARLA STEPHANINI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DB7" w:rsidRPr="00B1557A" w:rsidRDefault="00875DB7" w:rsidP="00695CBC">
            <w:pPr>
              <w:jc w:val="left"/>
              <w:rPr>
                <w:rFonts w:cs="Times New Roman"/>
                <w:b/>
                <w:bCs/>
              </w:rPr>
            </w:pPr>
            <w:r w:rsidRPr="00B1557A">
              <w:rPr>
                <w:rFonts w:cs="Times New Roman"/>
                <w:b/>
                <w:bCs/>
              </w:rPr>
              <w:t>UF:</w:t>
            </w:r>
          </w:p>
          <w:p w:rsidR="00875DB7" w:rsidRPr="003B58BE" w:rsidRDefault="00875DB7" w:rsidP="00695CBC">
            <w:pPr>
              <w:jc w:val="left"/>
              <w:rPr>
                <w:rFonts w:cs="Times New Roman"/>
              </w:rPr>
            </w:pPr>
            <w:r w:rsidRPr="003B58BE">
              <w:rPr>
                <w:rFonts w:cs="Times New Roman"/>
              </w:rPr>
              <w:t>MS</w:t>
            </w:r>
          </w:p>
        </w:tc>
      </w:tr>
      <w:tr w:rsidR="00875DB7" w:rsidRPr="00B0211B" w:rsidTr="0099479C">
        <w:trPr>
          <w:trHeight w:val="527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DB7" w:rsidRPr="002A4DFD" w:rsidRDefault="00875DB7" w:rsidP="00695CBC">
            <w:pPr>
              <w:pStyle w:val="Ttulo1"/>
            </w:pPr>
            <w:bookmarkStart w:id="0" w:name="_Toc427826953"/>
            <w:r w:rsidRPr="002A4DFD">
              <w:t xml:space="preserve">ASSUNTO: Projeto de Lei que “Altera os Artigos 5° e 6°, da Lei 4.358, de 29 de dezembro de 2005 </w:t>
            </w:r>
            <w:proofErr w:type="gramStart"/>
            <w:r w:rsidRPr="002A4DFD">
              <w:t xml:space="preserve">( </w:t>
            </w:r>
            <w:proofErr w:type="gramEnd"/>
            <w:r w:rsidRPr="002A4DFD">
              <w:t>Institui a Avaliação de Desempenho Escolar no âmbito da Rede  Municipal de Ensino e dá outras providências)”.</w:t>
            </w:r>
            <w:bookmarkEnd w:id="0"/>
          </w:p>
        </w:tc>
      </w:tr>
      <w:tr w:rsidR="00875DB7" w:rsidRPr="002E1FE3" w:rsidTr="0099479C">
        <w:trPr>
          <w:trHeight w:val="135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DB7" w:rsidRPr="00B1557A" w:rsidRDefault="00875DB7" w:rsidP="00695CBC">
            <w:pPr>
              <w:rPr>
                <w:rFonts w:cs="Times New Roman"/>
                <w:color w:val="0000FF"/>
              </w:rPr>
            </w:pPr>
            <w:r w:rsidRPr="00B1557A">
              <w:rPr>
                <w:rFonts w:cs="Times New Roman"/>
                <w:b/>
                <w:bCs/>
              </w:rPr>
              <w:t xml:space="preserve">RELATORAS: </w:t>
            </w:r>
            <w:r w:rsidRPr="00B1557A">
              <w:rPr>
                <w:rFonts w:cs="Times New Roman"/>
              </w:rPr>
              <w:t xml:space="preserve">Adriana Aparecida </w:t>
            </w:r>
            <w:proofErr w:type="spellStart"/>
            <w:r w:rsidRPr="00B1557A">
              <w:rPr>
                <w:rFonts w:cs="Times New Roman"/>
              </w:rPr>
              <w:t>Burato</w:t>
            </w:r>
            <w:proofErr w:type="spellEnd"/>
            <w:r w:rsidRPr="00B1557A">
              <w:rPr>
                <w:rFonts w:cs="Times New Roman"/>
              </w:rPr>
              <w:t xml:space="preserve"> Marques </w:t>
            </w:r>
            <w:proofErr w:type="spellStart"/>
            <w:r w:rsidRPr="00B1557A">
              <w:rPr>
                <w:rFonts w:cs="Times New Roman"/>
              </w:rPr>
              <w:t>Buytendorp</w:t>
            </w:r>
            <w:proofErr w:type="spellEnd"/>
            <w:r w:rsidRPr="00B1557A">
              <w:rPr>
                <w:rFonts w:cs="Times New Roman"/>
              </w:rPr>
              <w:t xml:space="preserve">, </w:t>
            </w:r>
            <w:proofErr w:type="spellStart"/>
            <w:r w:rsidRPr="00B1557A">
              <w:rPr>
                <w:rFonts w:cs="Times New Roman"/>
              </w:rPr>
              <w:t>Angela</w:t>
            </w:r>
            <w:proofErr w:type="spellEnd"/>
            <w:r w:rsidRPr="00B1557A">
              <w:rPr>
                <w:rFonts w:cs="Times New Roman"/>
              </w:rPr>
              <w:t xml:space="preserve"> Maria </w:t>
            </w:r>
            <w:proofErr w:type="spellStart"/>
            <w:r w:rsidRPr="00B1557A">
              <w:rPr>
                <w:rFonts w:cs="Times New Roman"/>
              </w:rPr>
              <w:t>Tomielis</w:t>
            </w:r>
            <w:proofErr w:type="spellEnd"/>
            <w:r w:rsidRPr="00B1557A">
              <w:rPr>
                <w:rFonts w:cs="Times New Roman"/>
              </w:rPr>
              <w:t xml:space="preserve">, </w:t>
            </w:r>
            <w:proofErr w:type="spellStart"/>
            <w:r w:rsidRPr="00B1557A">
              <w:rPr>
                <w:rFonts w:cs="Times New Roman"/>
              </w:rPr>
              <w:t>Alinette</w:t>
            </w:r>
            <w:proofErr w:type="spellEnd"/>
            <w:r w:rsidRPr="00B1557A">
              <w:rPr>
                <w:rFonts w:cs="Times New Roman"/>
              </w:rPr>
              <w:t xml:space="preserve"> Campos Dobes,</w:t>
            </w:r>
            <w:r w:rsidRPr="00B1557A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1557A">
              <w:rPr>
                <w:rFonts w:cs="Times New Roman"/>
              </w:rPr>
              <w:t>Fabiane</w:t>
            </w:r>
            <w:proofErr w:type="spellEnd"/>
            <w:r w:rsidRPr="00B1557A">
              <w:rPr>
                <w:rFonts w:cs="Times New Roman"/>
              </w:rPr>
              <w:t xml:space="preserve"> Gomes da Silva de Lima, </w:t>
            </w:r>
            <w:proofErr w:type="spellStart"/>
            <w:r w:rsidRPr="00B1557A">
              <w:rPr>
                <w:rFonts w:cs="Times New Roman"/>
              </w:rPr>
              <w:t>Geruza</w:t>
            </w:r>
            <w:proofErr w:type="spellEnd"/>
            <w:r w:rsidRPr="00B1557A">
              <w:rPr>
                <w:rFonts w:cs="Times New Roman"/>
              </w:rPr>
              <w:t xml:space="preserve"> Aparecida Ferreira Saraiva, </w:t>
            </w:r>
            <w:proofErr w:type="spellStart"/>
            <w:r w:rsidRPr="00B1557A">
              <w:rPr>
                <w:rFonts w:cs="Times New Roman"/>
              </w:rPr>
              <w:t>Leusa</w:t>
            </w:r>
            <w:proofErr w:type="spellEnd"/>
            <w:r w:rsidRPr="00B1557A">
              <w:rPr>
                <w:rFonts w:cs="Times New Roman"/>
              </w:rPr>
              <w:t xml:space="preserve"> de Melo </w:t>
            </w:r>
            <w:proofErr w:type="spellStart"/>
            <w:r w:rsidRPr="00B1557A">
              <w:rPr>
                <w:rFonts w:cs="Times New Roman"/>
              </w:rPr>
              <w:t>Secchi</w:t>
            </w:r>
            <w:proofErr w:type="spellEnd"/>
            <w:r w:rsidRPr="00B1557A">
              <w:rPr>
                <w:rFonts w:cs="Times New Roman"/>
              </w:rPr>
              <w:t xml:space="preserve">, Lucia </w:t>
            </w:r>
            <w:proofErr w:type="spellStart"/>
            <w:r w:rsidRPr="00B1557A">
              <w:rPr>
                <w:rFonts w:cs="Times New Roman"/>
              </w:rPr>
              <w:t>Celia</w:t>
            </w:r>
            <w:proofErr w:type="spellEnd"/>
            <w:r w:rsidRPr="00B1557A">
              <w:rPr>
                <w:rFonts w:cs="Times New Roman"/>
              </w:rPr>
              <w:t xml:space="preserve"> Ferreira da Silva </w:t>
            </w:r>
            <w:proofErr w:type="spellStart"/>
            <w:r w:rsidRPr="00B1557A">
              <w:rPr>
                <w:rFonts w:cs="Times New Roman"/>
              </w:rPr>
              <w:t>Perius</w:t>
            </w:r>
            <w:proofErr w:type="spellEnd"/>
            <w:r w:rsidRPr="00B1557A">
              <w:rPr>
                <w:rFonts w:cs="Times New Roman"/>
              </w:rPr>
              <w:t xml:space="preserve">, </w:t>
            </w:r>
            <w:proofErr w:type="spellStart"/>
            <w:r w:rsidRPr="00B1557A">
              <w:rPr>
                <w:rFonts w:cs="Times New Roman"/>
              </w:rPr>
              <w:t>Lysi</w:t>
            </w:r>
            <w:proofErr w:type="spellEnd"/>
            <w:r w:rsidRPr="00B1557A">
              <w:rPr>
                <w:rFonts w:cs="Times New Roman"/>
              </w:rPr>
              <w:t xml:space="preserve"> Moretti, Maria Lúcia de Fátima de Oliveira, Maria Luiza D’</w:t>
            </w:r>
            <w:proofErr w:type="spellStart"/>
            <w:r w:rsidRPr="00B1557A">
              <w:rPr>
                <w:rFonts w:cs="Times New Roman"/>
              </w:rPr>
              <w:t>Agustin</w:t>
            </w:r>
            <w:proofErr w:type="spellEnd"/>
            <w:r w:rsidRPr="00B1557A">
              <w:rPr>
                <w:rFonts w:cs="Times New Roman"/>
              </w:rPr>
              <w:t xml:space="preserve"> Ferreira, Marlene Batista Alves, Neuza Paes de Carvalho, Regina Aparecida Marques de Souza, Sandra Rose Rodrigues Cruz, </w:t>
            </w:r>
            <w:proofErr w:type="spellStart"/>
            <w:r w:rsidRPr="00B1557A">
              <w:rPr>
                <w:rFonts w:cs="Times New Roman"/>
              </w:rPr>
              <w:t>Teruko</w:t>
            </w:r>
            <w:proofErr w:type="spellEnd"/>
            <w:r w:rsidRPr="00B1557A">
              <w:rPr>
                <w:rFonts w:cs="Times New Roman"/>
              </w:rPr>
              <w:t xml:space="preserve"> </w:t>
            </w:r>
            <w:proofErr w:type="spellStart"/>
            <w:r w:rsidRPr="00B1557A">
              <w:rPr>
                <w:rFonts w:cs="Times New Roman"/>
              </w:rPr>
              <w:t>Misuzaki</w:t>
            </w:r>
            <w:proofErr w:type="spellEnd"/>
            <w:r w:rsidRPr="00B1557A">
              <w:rPr>
                <w:rFonts w:cs="Times New Roman"/>
              </w:rPr>
              <w:t xml:space="preserve"> </w:t>
            </w:r>
            <w:proofErr w:type="spellStart"/>
            <w:r w:rsidRPr="00B1557A">
              <w:rPr>
                <w:rFonts w:cs="Times New Roman"/>
              </w:rPr>
              <w:t>Massago</w:t>
            </w:r>
            <w:proofErr w:type="spellEnd"/>
            <w:r w:rsidRPr="00B1557A">
              <w:rPr>
                <w:rFonts w:cs="Times New Roman"/>
              </w:rPr>
              <w:t xml:space="preserve"> e Vera Lucia Guerra.</w:t>
            </w:r>
          </w:p>
        </w:tc>
      </w:tr>
      <w:tr w:rsidR="00875DB7" w:rsidRPr="002E1FE3" w:rsidTr="0099479C">
        <w:trPr>
          <w:trHeight w:val="40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DB7" w:rsidRPr="00B1557A" w:rsidRDefault="00875DB7" w:rsidP="00695CBC">
            <w:pPr>
              <w:pStyle w:val="Ttulo1"/>
            </w:pPr>
            <w:bookmarkStart w:id="1" w:name="_Toc427826954"/>
            <w:r w:rsidRPr="00A53DE3">
              <w:rPr>
                <w:b/>
              </w:rPr>
              <w:t>PARECER N</w:t>
            </w:r>
            <w:r w:rsidRPr="00B1557A">
              <w:t>.:</w:t>
            </w:r>
            <w:bookmarkEnd w:id="1"/>
          </w:p>
          <w:p w:rsidR="00875DB7" w:rsidRPr="00B1557A" w:rsidRDefault="00875DB7" w:rsidP="00695CBC">
            <w:pPr>
              <w:pStyle w:val="Ttulo1"/>
              <w:jc w:val="center"/>
            </w:pPr>
            <w:bookmarkStart w:id="2" w:name="_Toc427826955"/>
            <w:r w:rsidRPr="00B1557A">
              <w:t>42/2014</w:t>
            </w:r>
            <w:bookmarkEnd w:id="2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DB7" w:rsidRPr="00B1557A" w:rsidRDefault="00875DB7" w:rsidP="00695CBC">
            <w:pPr>
              <w:rPr>
                <w:rFonts w:cs="Times New Roman"/>
                <w:b/>
                <w:bCs/>
              </w:rPr>
            </w:pPr>
            <w:r w:rsidRPr="00B1557A">
              <w:rPr>
                <w:rFonts w:cs="Times New Roman"/>
                <w:b/>
                <w:bCs/>
              </w:rPr>
              <w:t>CÂMARA:</w:t>
            </w:r>
          </w:p>
          <w:p w:rsidR="00875DB7" w:rsidRPr="00B1557A" w:rsidRDefault="00875DB7" w:rsidP="00695CBC">
            <w:pPr>
              <w:jc w:val="center"/>
              <w:rPr>
                <w:rFonts w:cs="Times New Roman"/>
                <w:color w:val="auto"/>
              </w:rPr>
            </w:pPr>
            <w:r w:rsidRPr="00B1557A">
              <w:rPr>
                <w:rFonts w:cs="Times New Roman"/>
                <w:color w:val="auto"/>
              </w:rPr>
              <w:t>Conjunta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DB7" w:rsidRPr="00B1557A" w:rsidRDefault="00875DB7" w:rsidP="00695CBC">
            <w:pPr>
              <w:rPr>
                <w:rFonts w:cs="Times New Roman"/>
                <w:b/>
                <w:bCs/>
              </w:rPr>
            </w:pPr>
            <w:r w:rsidRPr="00B1557A">
              <w:rPr>
                <w:rFonts w:cs="Times New Roman"/>
                <w:b/>
                <w:bCs/>
              </w:rPr>
              <w:t>APROVADO EM:</w:t>
            </w:r>
          </w:p>
          <w:p w:rsidR="00875DB7" w:rsidRPr="00B1557A" w:rsidRDefault="00875DB7" w:rsidP="00695CBC">
            <w:pPr>
              <w:jc w:val="center"/>
              <w:rPr>
                <w:rFonts w:cs="Times New Roman"/>
                <w:bCs/>
              </w:rPr>
            </w:pPr>
            <w:r w:rsidRPr="00B1557A">
              <w:rPr>
                <w:rFonts w:cs="Times New Roman"/>
                <w:bCs/>
              </w:rPr>
              <w:t>2/7/2014</w:t>
            </w:r>
          </w:p>
        </w:tc>
      </w:tr>
      <w:tr w:rsidR="00875DB7" w:rsidRPr="002E1FE3" w:rsidTr="0099479C">
        <w:trPr>
          <w:trHeight w:val="157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B7" w:rsidRPr="00BE5CCA" w:rsidRDefault="00875DB7" w:rsidP="00695CBC">
            <w:pPr>
              <w:pStyle w:val="Corpodetexto2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75DB7" w:rsidRPr="00B1557A" w:rsidRDefault="00875DB7" w:rsidP="00695CBC">
            <w:pPr>
              <w:pStyle w:val="Corpodetexto2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1557A">
              <w:rPr>
                <w:b/>
                <w:bCs/>
                <w:color w:val="000000"/>
              </w:rPr>
              <w:t>1. RELATÓRIO E ANÁLISE DA MATÉRIA:</w:t>
            </w:r>
          </w:p>
          <w:p w:rsidR="00875DB7" w:rsidRDefault="00875DB7" w:rsidP="00B24A98">
            <w:pPr>
              <w:pStyle w:val="Corpodetexto2"/>
              <w:spacing w:after="0" w:line="240" w:lineRule="auto"/>
              <w:ind w:left="0" w:firstLine="709"/>
              <w:jc w:val="both"/>
              <w:rPr>
                <w:color w:val="000000"/>
              </w:rPr>
            </w:pPr>
            <w:r w:rsidRPr="00B1557A">
              <w:rPr>
                <w:color w:val="000000"/>
              </w:rPr>
              <w:t xml:space="preserve">A Presidente da Comissão Permanente de Educação e Desporto, Vereadora Carla </w:t>
            </w:r>
            <w:proofErr w:type="spellStart"/>
            <w:r w:rsidRPr="00B1557A">
              <w:rPr>
                <w:color w:val="000000"/>
              </w:rPr>
              <w:t>Stephanini</w:t>
            </w:r>
            <w:proofErr w:type="spellEnd"/>
            <w:r w:rsidRPr="00B1557A">
              <w:rPr>
                <w:color w:val="000000"/>
              </w:rPr>
              <w:t>, encaminhou a este Conselho, para apreciação e emissão de parecer – em regime de urgência especial –</w:t>
            </w:r>
            <w:proofErr w:type="gramStart"/>
            <w:r w:rsidRPr="00B1557A">
              <w:rPr>
                <w:color w:val="000000"/>
              </w:rPr>
              <w:t xml:space="preserve">  </w:t>
            </w:r>
            <w:proofErr w:type="gramEnd"/>
            <w:r w:rsidRPr="00B1557A">
              <w:rPr>
                <w:color w:val="000000"/>
              </w:rPr>
              <w:t xml:space="preserve">cópia do Projeto de Lei N. 7.693/2014 que “Altera os Artigos 5° e 6°, da Lei 4.358, de 29 de dezembro de 2005, (Institui a Avaliação de Desempenho Escolar no âmbito da Rede  Municipal de Ensino e dá outras providências)”.  </w:t>
            </w:r>
          </w:p>
          <w:p w:rsidR="00B24A98" w:rsidRPr="00B1557A" w:rsidRDefault="00B24A98" w:rsidP="00B24A98">
            <w:pPr>
              <w:pStyle w:val="Corpodetexto2"/>
              <w:spacing w:after="0" w:line="240" w:lineRule="auto"/>
              <w:ind w:left="0" w:firstLine="709"/>
              <w:jc w:val="both"/>
              <w:rPr>
                <w:color w:val="000000"/>
              </w:rPr>
            </w:pPr>
          </w:p>
          <w:p w:rsidR="00875DB7" w:rsidRPr="00B1557A" w:rsidRDefault="00875DB7" w:rsidP="00695CBC">
            <w:pPr>
              <w:pStyle w:val="Corpodetexto2"/>
              <w:spacing w:after="0" w:line="240" w:lineRule="auto"/>
              <w:ind w:left="0" w:firstLine="709"/>
              <w:jc w:val="both"/>
              <w:rPr>
                <w:color w:val="000000"/>
              </w:rPr>
            </w:pPr>
            <w:r w:rsidRPr="00B1557A">
              <w:rPr>
                <w:color w:val="000000"/>
              </w:rPr>
              <w:t xml:space="preserve">O referido documento propõe que a Avaliação de Desempenho Escolar no âmbito da Rede Municipal de Ensino </w:t>
            </w:r>
          </w:p>
          <w:p w:rsidR="00875DB7" w:rsidRPr="00B1557A" w:rsidRDefault="00875DB7" w:rsidP="00695CBC">
            <w:pPr>
              <w:pStyle w:val="Corpodetexto2"/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875DB7" w:rsidRPr="00B1557A" w:rsidRDefault="00875DB7" w:rsidP="00695CBC">
            <w:pPr>
              <w:autoSpaceDE w:val="0"/>
              <w:autoSpaceDN w:val="0"/>
              <w:adjustRightInd w:val="0"/>
              <w:ind w:left="2341"/>
              <w:rPr>
                <w:rFonts w:cs="Times New Roman"/>
                <w:sz w:val="20"/>
                <w:szCs w:val="20"/>
              </w:rPr>
            </w:pPr>
            <w:r w:rsidRPr="00B1557A">
              <w:rPr>
                <w:rFonts w:cs="Times New Roman"/>
                <w:sz w:val="20"/>
                <w:szCs w:val="20"/>
              </w:rPr>
              <w:t>[</w:t>
            </w:r>
            <w:proofErr w:type="gramStart"/>
            <w:r w:rsidRPr="00B1557A">
              <w:rPr>
                <w:rFonts w:cs="Times New Roman"/>
                <w:sz w:val="20"/>
                <w:szCs w:val="20"/>
              </w:rPr>
              <w:t xml:space="preserve">...] deverá ser realizada </w:t>
            </w:r>
            <w:proofErr w:type="spellStart"/>
            <w:r w:rsidRPr="00B1557A">
              <w:rPr>
                <w:rFonts w:cs="Times New Roman"/>
                <w:sz w:val="20"/>
                <w:szCs w:val="20"/>
              </w:rPr>
              <w:t>bianualmente</w:t>
            </w:r>
            <w:proofErr w:type="spellEnd"/>
            <w:r w:rsidRPr="00B1557A">
              <w:rPr>
                <w:rFonts w:cs="Times New Roman"/>
                <w:sz w:val="20"/>
                <w:szCs w:val="20"/>
              </w:rPr>
              <w:t>, em anos pares e de forma censitária, devendo ser selecionados pela Secretaria Municipal de Educação – SEMED, um ano escolar dos anos iniciais e o outro ano escolar dos anos finais do Ensino Fundamental”</w:t>
            </w:r>
            <w:proofErr w:type="gramEnd"/>
            <w:r w:rsidRPr="00B1557A">
              <w:rPr>
                <w:rFonts w:cs="Times New Roman"/>
                <w:sz w:val="20"/>
                <w:szCs w:val="20"/>
              </w:rPr>
              <w:t>. (NR) (ART.5º)</w:t>
            </w:r>
          </w:p>
          <w:p w:rsidR="00875DB7" w:rsidRPr="00B1557A" w:rsidRDefault="00875DB7" w:rsidP="00695CBC">
            <w:pPr>
              <w:autoSpaceDE w:val="0"/>
              <w:autoSpaceDN w:val="0"/>
              <w:adjustRightInd w:val="0"/>
              <w:ind w:left="2341"/>
              <w:rPr>
                <w:rFonts w:cs="Times New Roman"/>
                <w:sz w:val="20"/>
                <w:szCs w:val="20"/>
              </w:rPr>
            </w:pPr>
          </w:p>
          <w:p w:rsidR="00875DB7" w:rsidRPr="00B1557A" w:rsidRDefault="00875DB7" w:rsidP="00695CBC">
            <w:pPr>
              <w:autoSpaceDE w:val="0"/>
              <w:autoSpaceDN w:val="0"/>
              <w:adjustRightInd w:val="0"/>
              <w:ind w:left="2341"/>
              <w:rPr>
                <w:rFonts w:cs="Times New Roman"/>
                <w:sz w:val="20"/>
                <w:szCs w:val="20"/>
              </w:rPr>
            </w:pPr>
            <w:r w:rsidRPr="00B1557A">
              <w:rPr>
                <w:rFonts w:cs="Times New Roman"/>
                <w:sz w:val="20"/>
                <w:szCs w:val="20"/>
              </w:rPr>
              <w:t xml:space="preserve">Ao final de cada avaliação, deverão ser expedidos boletins de resultados e relatórios pedagógicos a serem utilizados pelas escolas e pela SEMED. (NR) </w:t>
            </w:r>
            <w:proofErr w:type="gramStart"/>
            <w:r w:rsidRPr="00B1557A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B1557A">
              <w:rPr>
                <w:rFonts w:cs="Times New Roman"/>
                <w:sz w:val="20"/>
                <w:szCs w:val="20"/>
              </w:rPr>
              <w:t>Art. 6º),</w:t>
            </w:r>
          </w:p>
          <w:p w:rsidR="00875DB7" w:rsidRPr="00B1557A" w:rsidRDefault="00875DB7" w:rsidP="00695CBC">
            <w:pPr>
              <w:autoSpaceDE w:val="0"/>
              <w:autoSpaceDN w:val="0"/>
              <w:adjustRightInd w:val="0"/>
              <w:ind w:left="2200"/>
              <w:rPr>
                <w:rFonts w:cs="Times New Roman"/>
                <w:sz w:val="20"/>
                <w:szCs w:val="20"/>
              </w:rPr>
            </w:pPr>
          </w:p>
          <w:p w:rsidR="00875DB7" w:rsidRDefault="00875DB7" w:rsidP="00B24A98">
            <w:pPr>
              <w:pStyle w:val="Corpodetexto2"/>
              <w:spacing w:after="0" w:line="240" w:lineRule="auto"/>
              <w:ind w:left="0"/>
              <w:jc w:val="both"/>
              <w:rPr>
                <w:color w:val="000000"/>
              </w:rPr>
            </w:pPr>
            <w:proofErr w:type="gramStart"/>
            <w:r w:rsidRPr="00B1557A">
              <w:rPr>
                <w:color w:val="000000"/>
              </w:rPr>
              <w:t>uma</w:t>
            </w:r>
            <w:proofErr w:type="gramEnd"/>
            <w:r w:rsidRPr="00B1557A">
              <w:rPr>
                <w:color w:val="000000"/>
              </w:rPr>
              <w:t xml:space="preserve"> vez que há sobrecarga de avaliações nos anos ímpares. Nos mesmos anos, as escolas públicas são, também, avaliadas pelo Ministério da Educação, mediante a aplicação da Provinha Brasil, da Prova Brasil e da Avaliação Nacional de Alfabetização (ANA).</w:t>
            </w:r>
          </w:p>
          <w:p w:rsidR="00B24A98" w:rsidRPr="00B1557A" w:rsidRDefault="00B24A98" w:rsidP="00B24A98">
            <w:pPr>
              <w:pStyle w:val="Corpodetexto2"/>
              <w:spacing w:after="0" w:line="240" w:lineRule="auto"/>
              <w:ind w:left="0"/>
              <w:jc w:val="both"/>
              <w:rPr>
                <w:color w:val="000000"/>
              </w:rPr>
            </w:pPr>
          </w:p>
          <w:p w:rsidR="00875DB7" w:rsidRDefault="00875DB7" w:rsidP="00B24A98">
            <w:pPr>
              <w:pStyle w:val="Corpodetexto2"/>
              <w:spacing w:after="0" w:line="240" w:lineRule="auto"/>
              <w:ind w:left="0" w:firstLine="782"/>
              <w:jc w:val="both"/>
              <w:rPr>
                <w:rFonts w:eastAsia="Calibri"/>
              </w:rPr>
            </w:pPr>
            <w:r w:rsidRPr="00CF5D84">
              <w:t>Antes de nos pronunciarmos sobre o assunto em questão, acreditamos que o ato de avaliar</w:t>
            </w:r>
            <w:proofErr w:type="gramStart"/>
            <w:r w:rsidRPr="00CF5D84">
              <w:t xml:space="preserve"> </w:t>
            </w:r>
            <w:r w:rsidRPr="00CF5D84">
              <w:rPr>
                <w:rFonts w:eastAsia="Calibri"/>
              </w:rPr>
              <w:t xml:space="preserve"> </w:t>
            </w:r>
            <w:proofErr w:type="gramEnd"/>
            <w:r w:rsidRPr="00CF5D84">
              <w:rPr>
                <w:rFonts w:eastAsia="Calibri"/>
              </w:rPr>
              <w:t xml:space="preserve">deve se fundamentar nos seguintes aspectos: </w:t>
            </w:r>
            <w:r w:rsidR="00B24A98">
              <w:rPr>
                <w:rFonts w:eastAsia="Calibri"/>
              </w:rPr>
              <w:t xml:space="preserve"> </w:t>
            </w:r>
            <w:r w:rsidRPr="00CF5D84">
              <w:rPr>
                <w:rFonts w:eastAsia="Calibri"/>
              </w:rPr>
              <w:t>continuidade - a avaliação deve</w:t>
            </w:r>
            <w:r w:rsidRPr="00CF5D84">
              <w:rPr>
                <w:rFonts w:eastAsia="Calibri"/>
                <w:b/>
              </w:rPr>
              <w:t xml:space="preserve"> </w:t>
            </w:r>
            <w:r w:rsidRPr="00CF5D84">
              <w:rPr>
                <w:rFonts w:eastAsia="Calibri"/>
              </w:rPr>
              <w:t>ocorrer durante todo o processo educacional, e não somente em períodos específicos; compatibilidade com os objetivos propostos - a avaliação deve ser compatível com os objetivos norteadores do processo educacional para que venha realmente cumprir a função de diagnóstico; amplitude – a avaliação deve estar presente em todas as perspectivas do processo educacional (cognitivo, afetivo e psicomotor); diversidade de formas – a avaliação deve apresentar diferentes  características, instrumentos e  critérios que geram indicadores para atender a sua finalidade.</w:t>
            </w:r>
          </w:p>
          <w:p w:rsidR="00B24A98" w:rsidRPr="00B24A98" w:rsidRDefault="00B24A98" w:rsidP="00B24A98">
            <w:pPr>
              <w:pStyle w:val="Corpodetexto2"/>
              <w:spacing w:after="0" w:line="240" w:lineRule="auto"/>
              <w:ind w:left="0" w:firstLine="782"/>
              <w:jc w:val="both"/>
            </w:pPr>
          </w:p>
          <w:p w:rsidR="00875DB7" w:rsidRDefault="00875DB7" w:rsidP="00B24A98">
            <w:pPr>
              <w:pStyle w:val="Corpodetexto2"/>
              <w:spacing w:after="0" w:line="240" w:lineRule="auto"/>
              <w:ind w:left="0" w:firstLine="640"/>
              <w:jc w:val="both"/>
              <w:rPr>
                <w:rFonts w:eastAsia="Calibri"/>
              </w:rPr>
            </w:pPr>
            <w:r w:rsidRPr="00CF5D84">
              <w:rPr>
                <w:rFonts w:eastAsia="Calibri"/>
              </w:rPr>
              <w:t xml:space="preserve">Portanto, o ato de avaliar deve fornecer </w:t>
            </w:r>
            <w:proofErr w:type="gramStart"/>
            <w:r w:rsidRPr="00CF5D84">
              <w:rPr>
                <w:rFonts w:eastAsia="Calibri"/>
              </w:rPr>
              <w:t>dados</w:t>
            </w:r>
            <w:proofErr w:type="gramEnd"/>
            <w:r w:rsidRPr="00CF5D84">
              <w:rPr>
                <w:rFonts w:eastAsia="Calibri"/>
              </w:rPr>
              <w:t xml:space="preserve"> que permitam acompanhar diretamente a aprendizagem dos alunos e a qualidade do processo de ensino. Nesse sentido, a avaliação em sua função formativa possibilita o repensar e </w:t>
            </w:r>
            <w:proofErr w:type="spellStart"/>
            <w:r w:rsidRPr="00CF5D84">
              <w:rPr>
                <w:rFonts w:eastAsia="Calibri"/>
              </w:rPr>
              <w:t>replanejar</w:t>
            </w:r>
            <w:proofErr w:type="spellEnd"/>
            <w:r w:rsidRPr="00CF5D84">
              <w:rPr>
                <w:rFonts w:eastAsia="Calibri"/>
              </w:rPr>
              <w:t xml:space="preserve"> das ações de aprendizagem, para </w:t>
            </w:r>
            <w:r w:rsidRPr="00CF5D84">
              <w:rPr>
                <w:rFonts w:eastAsia="Calibri"/>
              </w:rPr>
              <w:lastRenderedPageBreak/>
              <w:t xml:space="preserve">que os sistemas repensem suas políticas públicas educacionais. </w:t>
            </w:r>
          </w:p>
          <w:p w:rsidR="00B24A98" w:rsidRPr="00B24A98" w:rsidRDefault="00B24A98" w:rsidP="00B24A98">
            <w:pPr>
              <w:pStyle w:val="Corpodetexto2"/>
              <w:spacing w:after="0" w:line="240" w:lineRule="auto"/>
              <w:ind w:left="0" w:firstLine="640"/>
              <w:jc w:val="both"/>
              <w:rPr>
                <w:rFonts w:eastAsia="Calibri"/>
              </w:rPr>
            </w:pPr>
          </w:p>
          <w:p w:rsidR="00875DB7" w:rsidRDefault="00875DB7" w:rsidP="00B24A98">
            <w:pPr>
              <w:autoSpaceDE w:val="0"/>
              <w:autoSpaceDN w:val="0"/>
              <w:adjustRightInd w:val="0"/>
              <w:ind w:left="0" w:firstLine="782"/>
              <w:rPr>
                <w:rFonts w:eastAsia="Calibri" w:cs="Times New Roman"/>
                <w:color w:val="auto"/>
              </w:rPr>
            </w:pPr>
            <w:r w:rsidRPr="00CF5D84">
              <w:rPr>
                <w:rFonts w:eastAsia="Calibri" w:cs="Times New Roman"/>
                <w:color w:val="auto"/>
              </w:rPr>
              <w:t>Acreditamos que a questão básica é entender a importância da avaliação e unir esforços para um trabalho conjunto no sentido de torná-la mais efetiva, mediante estruturação de critérios válidos e justos e seleção de instrumentos adequados em tempo hábil.</w:t>
            </w:r>
          </w:p>
          <w:p w:rsidR="00B24A98" w:rsidRPr="00CF5D84" w:rsidRDefault="00B24A98" w:rsidP="00B24A98">
            <w:pPr>
              <w:autoSpaceDE w:val="0"/>
              <w:autoSpaceDN w:val="0"/>
              <w:adjustRightInd w:val="0"/>
              <w:ind w:left="0" w:firstLine="782"/>
              <w:rPr>
                <w:rFonts w:eastAsia="Calibri" w:cs="Times New Roman"/>
                <w:color w:val="auto"/>
              </w:rPr>
            </w:pPr>
          </w:p>
          <w:p w:rsidR="00875DB7" w:rsidRDefault="00875DB7" w:rsidP="00B24A98">
            <w:pPr>
              <w:autoSpaceDE w:val="0"/>
              <w:autoSpaceDN w:val="0"/>
              <w:adjustRightInd w:val="0"/>
              <w:ind w:left="0" w:firstLine="782"/>
              <w:rPr>
                <w:rFonts w:eastAsia="Calibri" w:cs="Times New Roman"/>
                <w:color w:val="auto"/>
              </w:rPr>
            </w:pPr>
            <w:r w:rsidRPr="00CF5D84">
              <w:rPr>
                <w:rFonts w:eastAsia="Calibri" w:cs="Times New Roman"/>
                <w:color w:val="auto"/>
              </w:rPr>
              <w:t xml:space="preserve">Em decorrência às observações elencadas acima, </w:t>
            </w:r>
            <w:r w:rsidRPr="00CF5D84">
              <w:rPr>
                <w:rFonts w:cs="Times New Roman"/>
                <w:color w:val="auto"/>
              </w:rPr>
              <w:t xml:space="preserve">consideramos que há nos </w:t>
            </w:r>
            <w:proofErr w:type="gramStart"/>
            <w:r w:rsidRPr="00CF5D84">
              <w:rPr>
                <w:rFonts w:cs="Times New Roman"/>
                <w:color w:val="auto"/>
              </w:rPr>
              <w:t>Artigos 1º e 2º do Projeto de Lei N. 7.693/14</w:t>
            </w:r>
            <w:proofErr w:type="gramEnd"/>
            <w:r w:rsidRPr="00CF5D84">
              <w:rPr>
                <w:rFonts w:cs="Times New Roman"/>
                <w:color w:val="auto"/>
              </w:rPr>
              <w:t xml:space="preserve"> uma</w:t>
            </w:r>
            <w:r w:rsidRPr="00CF5D84">
              <w:rPr>
                <w:rFonts w:eastAsia="Calibri" w:cs="Times New Roman"/>
                <w:color w:val="auto"/>
              </w:rPr>
              <w:t xml:space="preserve"> preocupação significativa com a qualidade educacional, haja vista que o acúmulo de diversas avaliações,</w:t>
            </w:r>
            <w:r w:rsidR="00B24A98" w:rsidRPr="00CF5D84">
              <w:rPr>
                <w:rFonts w:eastAsia="Calibri" w:cs="Times New Roman"/>
                <w:color w:val="auto"/>
              </w:rPr>
              <w:t xml:space="preserve"> </w:t>
            </w:r>
            <w:r w:rsidRPr="00CF5D84">
              <w:rPr>
                <w:rFonts w:eastAsia="Calibri" w:cs="Times New Roman"/>
                <w:color w:val="auto"/>
              </w:rPr>
              <w:t>em um ano, não possibilita a sistematização de informações, para recuperar a aprendizagem e/ou rever os programas de ensino e as Políticas Públicas Educacionais.</w:t>
            </w:r>
          </w:p>
          <w:p w:rsidR="00B24A98" w:rsidRPr="00CF5D84" w:rsidRDefault="00B24A98" w:rsidP="00B24A98">
            <w:pPr>
              <w:autoSpaceDE w:val="0"/>
              <w:autoSpaceDN w:val="0"/>
              <w:adjustRightInd w:val="0"/>
              <w:ind w:left="0" w:firstLine="782"/>
              <w:rPr>
                <w:rFonts w:eastAsia="Calibri" w:cs="Times New Roman"/>
                <w:color w:val="auto"/>
              </w:rPr>
            </w:pPr>
          </w:p>
          <w:p w:rsidR="00875DB7" w:rsidRPr="00CF5D84" w:rsidRDefault="00875DB7" w:rsidP="00695CBC">
            <w:pPr>
              <w:autoSpaceDE w:val="0"/>
              <w:autoSpaceDN w:val="0"/>
              <w:adjustRightInd w:val="0"/>
              <w:ind w:left="0" w:firstLine="782"/>
              <w:rPr>
                <w:rFonts w:eastAsia="Calibri" w:cs="Times New Roman"/>
                <w:color w:val="auto"/>
              </w:rPr>
            </w:pPr>
            <w:r w:rsidRPr="00CF5D84">
              <w:rPr>
                <w:rFonts w:eastAsia="Calibri" w:cs="Times New Roman"/>
                <w:color w:val="auto"/>
              </w:rPr>
              <w:t xml:space="preserve">Entretanto, destacamos que é fundamental a permanência do </w:t>
            </w:r>
            <w:r w:rsidRPr="00CF5D84">
              <w:rPr>
                <w:rFonts w:cs="Times New Roman"/>
                <w:color w:val="auto"/>
              </w:rPr>
              <w:t xml:space="preserve">Parágrafo </w:t>
            </w:r>
            <w:r w:rsidRPr="00CF5D84">
              <w:rPr>
                <w:rFonts w:cs="Times New Roman"/>
                <w:b/>
                <w:color w:val="auto"/>
              </w:rPr>
              <w:t>ú</w:t>
            </w:r>
            <w:r w:rsidRPr="00CF5D84">
              <w:rPr>
                <w:rFonts w:cs="Times New Roman"/>
                <w:color w:val="auto"/>
              </w:rPr>
              <w:t xml:space="preserve">nico </w:t>
            </w:r>
            <w:r w:rsidRPr="00CF5D84">
              <w:rPr>
                <w:rFonts w:eastAsia="Calibri" w:cs="Times New Roman"/>
                <w:color w:val="auto"/>
              </w:rPr>
              <w:t>do Art. 5º da Lei N. 4.358/2005,</w:t>
            </w:r>
            <w:r w:rsidRPr="00CF5D84">
              <w:rPr>
                <w:rFonts w:cs="Times New Roman"/>
                <w:color w:val="auto"/>
              </w:rPr>
              <w:t xml:space="preserve"> </w:t>
            </w:r>
            <w:r w:rsidRPr="00CF5D84">
              <w:rPr>
                <w:rFonts w:cs="Times New Roman"/>
                <w:b/>
                <w:color w:val="auto"/>
              </w:rPr>
              <w:t>no qual determina que</w:t>
            </w:r>
            <w:r w:rsidRPr="00CF5D84">
              <w:rPr>
                <w:rFonts w:cs="Times New Roman"/>
                <w:color w:val="auto"/>
              </w:rPr>
              <w:t xml:space="preserve"> "No processo de avaliação não poderão ser utilizados itens que não tenham sido pré-testados e submetidos a análises estatísticas”, </w:t>
            </w:r>
            <w:r w:rsidRPr="00CF5D84">
              <w:rPr>
                <w:rFonts w:eastAsia="Calibri" w:cs="Times New Roman"/>
                <w:color w:val="auto"/>
              </w:rPr>
              <w:t xml:space="preserve">visto que da </w:t>
            </w:r>
            <w:proofErr w:type="spellStart"/>
            <w:r w:rsidRPr="00CF5D84">
              <w:rPr>
                <w:rFonts w:eastAsia="Calibri" w:cs="Times New Roman"/>
                <w:color w:val="auto"/>
              </w:rPr>
              <w:t>pré-testagem</w:t>
            </w:r>
            <w:proofErr w:type="spellEnd"/>
            <w:r w:rsidRPr="00CF5D84">
              <w:rPr>
                <w:rFonts w:eastAsia="Calibri" w:cs="Times New Roman"/>
                <w:color w:val="auto"/>
              </w:rPr>
              <w:t xml:space="preserve"> decorre a qualidade do instrumento avaliativo. </w:t>
            </w:r>
          </w:p>
          <w:p w:rsidR="00875DB7" w:rsidRPr="00BE5CCA" w:rsidRDefault="00875DB7" w:rsidP="00695CBC">
            <w:pPr>
              <w:pStyle w:val="Corpodetexto2"/>
              <w:spacing w:after="0" w:line="240" w:lineRule="auto"/>
              <w:ind w:left="0"/>
              <w:jc w:val="both"/>
              <w:rPr>
                <w:color w:val="0000FF"/>
              </w:rPr>
            </w:pPr>
          </w:p>
          <w:p w:rsidR="00875DB7" w:rsidRPr="00CF5D84" w:rsidRDefault="00875DB7" w:rsidP="00695CBC">
            <w:pPr>
              <w:ind w:left="0"/>
              <w:rPr>
                <w:rFonts w:cs="Times New Roman"/>
                <w:b/>
                <w:color w:val="auto"/>
              </w:rPr>
            </w:pPr>
            <w:r w:rsidRPr="00CF5D84">
              <w:rPr>
                <w:rFonts w:cs="Times New Roman"/>
                <w:b/>
                <w:color w:val="auto"/>
              </w:rPr>
              <w:t xml:space="preserve">2 - VOTO DAS RELATORAS: </w:t>
            </w:r>
          </w:p>
          <w:p w:rsidR="00875DB7" w:rsidRPr="00CF5D84" w:rsidRDefault="00875DB7" w:rsidP="00695CBC">
            <w:pPr>
              <w:ind w:left="0" w:firstLine="709"/>
              <w:rPr>
                <w:rFonts w:cs="Times New Roman"/>
                <w:color w:val="auto"/>
              </w:rPr>
            </w:pPr>
            <w:r w:rsidRPr="00CF5D84">
              <w:rPr>
                <w:rFonts w:cs="Times New Roman"/>
                <w:color w:val="auto"/>
              </w:rPr>
              <w:t xml:space="preserve">Diante das questões apontadas, e com a competência para elaborar normas sobre assuntos educacionais para o Sistema Municipal de Ensino, conforme o inciso III do </w:t>
            </w:r>
            <w:proofErr w:type="spellStart"/>
            <w:r w:rsidRPr="00CF5D84">
              <w:rPr>
                <w:rFonts w:cs="Times New Roman"/>
                <w:color w:val="auto"/>
              </w:rPr>
              <w:t>Art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 11 da Lei N. 9.394/1996, este Colegiado manifesta que o Projeto de Lei em questão apresenta uma solução plausível para o aperfeiçoamento do processo avaliativo, visando </w:t>
            </w:r>
            <w:proofErr w:type="gramStart"/>
            <w:r w:rsidRPr="00CF5D84">
              <w:rPr>
                <w:rFonts w:cs="Times New Roman"/>
                <w:color w:val="auto"/>
              </w:rPr>
              <w:t>a</w:t>
            </w:r>
            <w:proofErr w:type="gramEnd"/>
            <w:r w:rsidRPr="00CF5D84">
              <w:rPr>
                <w:rFonts w:cs="Times New Roman"/>
                <w:color w:val="auto"/>
              </w:rPr>
              <w:t xml:space="preserve"> aprendizagem dos alunos da Rede Municipal de Ensino – REME, com a permanência do Parágrafo </w:t>
            </w:r>
            <w:r w:rsidRPr="00CF5D84">
              <w:rPr>
                <w:rFonts w:cs="Times New Roman"/>
                <w:b/>
                <w:color w:val="auto"/>
              </w:rPr>
              <w:t>ú</w:t>
            </w:r>
            <w:r w:rsidRPr="00CF5D84">
              <w:rPr>
                <w:rFonts w:cs="Times New Roman"/>
                <w:color w:val="auto"/>
              </w:rPr>
              <w:t xml:space="preserve">nico, </w:t>
            </w:r>
            <w:r w:rsidRPr="00CF5D84">
              <w:rPr>
                <w:rFonts w:eastAsia="Calibri" w:cs="Times New Roman"/>
                <w:color w:val="auto"/>
              </w:rPr>
              <w:t>do Art. 5º da Lei N. 4.358/2005.</w:t>
            </w:r>
          </w:p>
          <w:p w:rsidR="00875DB7" w:rsidRPr="00CF5D84" w:rsidRDefault="00875DB7" w:rsidP="00695CBC">
            <w:pPr>
              <w:ind w:left="0"/>
              <w:rPr>
                <w:rFonts w:cs="Times New Roman"/>
                <w:color w:val="auto"/>
              </w:rPr>
            </w:pPr>
            <w:r w:rsidRPr="00CF5D84">
              <w:rPr>
                <w:rFonts w:cs="Times New Roman"/>
                <w:bCs/>
                <w:color w:val="auto"/>
              </w:rPr>
              <w:t>Conselheiras Relatoras:</w:t>
            </w:r>
            <w:r w:rsidRPr="00CF5D8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CF5D84">
              <w:rPr>
                <w:rFonts w:cs="Times New Roman"/>
                <w:color w:val="auto"/>
              </w:rPr>
              <w:t xml:space="preserve">Adriana Aparecida </w:t>
            </w:r>
            <w:proofErr w:type="spellStart"/>
            <w:r w:rsidRPr="00CF5D84">
              <w:rPr>
                <w:rFonts w:cs="Times New Roman"/>
                <w:color w:val="auto"/>
              </w:rPr>
              <w:t>Burato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 Marques </w:t>
            </w:r>
            <w:proofErr w:type="spellStart"/>
            <w:r w:rsidRPr="00CF5D84">
              <w:rPr>
                <w:rFonts w:cs="Times New Roman"/>
                <w:color w:val="auto"/>
              </w:rPr>
              <w:t>Buytendorp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CF5D84">
              <w:rPr>
                <w:rFonts w:cs="Times New Roman"/>
                <w:color w:val="auto"/>
              </w:rPr>
              <w:t>Angela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 Maria </w:t>
            </w:r>
            <w:proofErr w:type="spellStart"/>
            <w:r w:rsidRPr="00CF5D84">
              <w:rPr>
                <w:rFonts w:cs="Times New Roman"/>
                <w:color w:val="auto"/>
              </w:rPr>
              <w:t>Tomielis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CF5D84">
              <w:rPr>
                <w:rFonts w:cs="Times New Roman"/>
                <w:color w:val="auto"/>
              </w:rPr>
              <w:t>Alinette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 Campos Dobes,</w:t>
            </w:r>
            <w:r w:rsidRPr="00CF5D84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F5D84">
              <w:rPr>
                <w:rFonts w:cs="Times New Roman"/>
                <w:color w:val="auto"/>
              </w:rPr>
              <w:t>Fabiane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 Gomes da Silva de Lima, </w:t>
            </w:r>
            <w:proofErr w:type="spellStart"/>
            <w:r w:rsidRPr="00CF5D84">
              <w:rPr>
                <w:rFonts w:cs="Times New Roman"/>
                <w:color w:val="auto"/>
              </w:rPr>
              <w:t>Geruza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 Aparecida Ferreira Saraiva, </w:t>
            </w:r>
            <w:proofErr w:type="spellStart"/>
            <w:r w:rsidRPr="00CF5D84">
              <w:rPr>
                <w:rFonts w:cs="Times New Roman"/>
                <w:color w:val="auto"/>
              </w:rPr>
              <w:t>Leusa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 de Melo </w:t>
            </w:r>
            <w:proofErr w:type="spellStart"/>
            <w:r w:rsidRPr="00CF5D84">
              <w:rPr>
                <w:rFonts w:cs="Times New Roman"/>
                <w:color w:val="auto"/>
              </w:rPr>
              <w:t>Secchi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, Lucia </w:t>
            </w:r>
            <w:proofErr w:type="spellStart"/>
            <w:r w:rsidRPr="00CF5D84">
              <w:rPr>
                <w:rFonts w:cs="Times New Roman"/>
                <w:color w:val="auto"/>
              </w:rPr>
              <w:t>Celia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 Ferreira da Silva </w:t>
            </w:r>
            <w:proofErr w:type="spellStart"/>
            <w:r w:rsidRPr="00CF5D84">
              <w:rPr>
                <w:rFonts w:cs="Times New Roman"/>
                <w:color w:val="auto"/>
              </w:rPr>
              <w:t>Perius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CF5D84">
              <w:rPr>
                <w:rFonts w:cs="Times New Roman"/>
                <w:color w:val="auto"/>
              </w:rPr>
              <w:t>Lysi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 Moretti, Maria Lúcia de Fátima de Oliveira, Maria Luiza D’</w:t>
            </w:r>
            <w:proofErr w:type="spellStart"/>
            <w:r w:rsidRPr="00CF5D84">
              <w:rPr>
                <w:rFonts w:cs="Times New Roman"/>
                <w:color w:val="auto"/>
              </w:rPr>
              <w:t>Agustin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 Ferreira, Marlene Batista Alves, Neuza Paes de Carvalho, Regina Aparecida Marques de Souza, Sandra Rose Rodrigues Cruz, </w:t>
            </w:r>
            <w:proofErr w:type="spellStart"/>
            <w:r w:rsidRPr="00CF5D84">
              <w:rPr>
                <w:rFonts w:cs="Times New Roman"/>
                <w:color w:val="auto"/>
              </w:rPr>
              <w:t>Teruko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CF5D84">
              <w:rPr>
                <w:rFonts w:cs="Times New Roman"/>
                <w:color w:val="auto"/>
              </w:rPr>
              <w:t>Misuzaki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CF5D84">
              <w:rPr>
                <w:rFonts w:cs="Times New Roman"/>
                <w:color w:val="auto"/>
              </w:rPr>
              <w:t>Massago</w:t>
            </w:r>
            <w:proofErr w:type="spellEnd"/>
            <w:r w:rsidRPr="00CF5D84">
              <w:rPr>
                <w:rFonts w:cs="Times New Roman"/>
                <w:color w:val="auto"/>
              </w:rPr>
              <w:t xml:space="preserve"> e Vera Lucia Guerra.</w:t>
            </w:r>
          </w:p>
          <w:p w:rsidR="00875DB7" w:rsidRDefault="00875DB7" w:rsidP="00695CBC">
            <w:pPr>
              <w:rPr>
                <w:rFonts w:ascii="Arial" w:hAnsi="Arial"/>
              </w:rPr>
            </w:pPr>
          </w:p>
          <w:p w:rsidR="00875DB7" w:rsidRPr="00A53DE3" w:rsidRDefault="00875DB7" w:rsidP="00695CBC"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 w:rsidRPr="00A53DE3">
              <w:rPr>
                <w:rFonts w:cs="Times New Roman"/>
                <w:b/>
                <w:color w:val="auto"/>
              </w:rPr>
              <w:t>Assessoria Técnica:</w:t>
            </w:r>
          </w:p>
          <w:p w:rsidR="00875DB7" w:rsidRPr="00A53DE3" w:rsidRDefault="00875DB7" w:rsidP="00695CBC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A53DE3">
              <w:rPr>
                <w:rFonts w:cs="Times New Roman"/>
                <w:color w:val="auto"/>
              </w:rPr>
              <w:t>Joísia</w:t>
            </w:r>
            <w:proofErr w:type="spellEnd"/>
            <w:r w:rsidRPr="00A53DE3">
              <w:rPr>
                <w:rFonts w:cs="Times New Roman"/>
                <w:color w:val="auto"/>
              </w:rPr>
              <w:t xml:space="preserve"> Góes Costa</w:t>
            </w:r>
          </w:p>
          <w:p w:rsidR="00875DB7" w:rsidRPr="00A53DE3" w:rsidRDefault="00875DB7" w:rsidP="00695CBC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A53DE3">
              <w:rPr>
                <w:rFonts w:cs="Times New Roman"/>
                <w:color w:val="auto"/>
              </w:rPr>
              <w:t>Kely</w:t>
            </w:r>
            <w:proofErr w:type="spellEnd"/>
            <w:r w:rsidRPr="00A53DE3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A53DE3">
              <w:rPr>
                <w:rFonts w:cs="Times New Roman"/>
                <w:color w:val="auto"/>
              </w:rPr>
              <w:t>Fabrícia</w:t>
            </w:r>
            <w:proofErr w:type="spellEnd"/>
            <w:r w:rsidRPr="00A53DE3">
              <w:rPr>
                <w:rFonts w:cs="Times New Roman"/>
                <w:color w:val="auto"/>
              </w:rPr>
              <w:t xml:space="preserve"> Pereira Nogueira</w:t>
            </w:r>
          </w:p>
          <w:p w:rsidR="00875DB7" w:rsidRPr="00A53DE3" w:rsidRDefault="00875DB7" w:rsidP="00695CBC">
            <w:pPr>
              <w:jc w:val="center"/>
              <w:rPr>
                <w:rFonts w:cs="Times New Roman"/>
                <w:color w:val="auto"/>
              </w:rPr>
            </w:pPr>
            <w:r w:rsidRPr="00A53DE3">
              <w:rPr>
                <w:rFonts w:cs="Times New Roman"/>
                <w:color w:val="auto"/>
              </w:rPr>
              <w:t>Maria Luiza D'</w:t>
            </w:r>
            <w:proofErr w:type="spellStart"/>
            <w:r w:rsidRPr="00A53DE3">
              <w:rPr>
                <w:rFonts w:cs="Times New Roman"/>
                <w:color w:val="auto"/>
              </w:rPr>
              <w:t>Agustin</w:t>
            </w:r>
            <w:proofErr w:type="spellEnd"/>
            <w:r w:rsidRPr="00A53DE3">
              <w:rPr>
                <w:rFonts w:cs="Times New Roman"/>
                <w:color w:val="auto"/>
              </w:rPr>
              <w:t xml:space="preserve"> Ferreira</w:t>
            </w:r>
          </w:p>
          <w:p w:rsidR="00875DB7" w:rsidRPr="00A53DE3" w:rsidRDefault="00875DB7" w:rsidP="00695CBC">
            <w:pPr>
              <w:jc w:val="center"/>
              <w:rPr>
                <w:rFonts w:cs="Times New Roman"/>
                <w:color w:val="auto"/>
              </w:rPr>
            </w:pPr>
          </w:p>
          <w:p w:rsidR="00875DB7" w:rsidRPr="00A53DE3" w:rsidRDefault="00875DB7" w:rsidP="00695CBC">
            <w:pPr>
              <w:jc w:val="center"/>
              <w:rPr>
                <w:rFonts w:cs="Times New Roman"/>
                <w:color w:val="auto"/>
              </w:rPr>
            </w:pPr>
            <w:r w:rsidRPr="00A53DE3">
              <w:rPr>
                <w:rFonts w:cs="Times New Roman"/>
                <w:color w:val="auto"/>
              </w:rPr>
              <w:t>Colaborador:</w:t>
            </w:r>
          </w:p>
          <w:p w:rsidR="00875DB7" w:rsidRPr="00A53DE3" w:rsidRDefault="00875DB7" w:rsidP="00695CBC">
            <w:pPr>
              <w:jc w:val="center"/>
              <w:rPr>
                <w:rFonts w:cs="Times New Roman"/>
                <w:color w:val="auto"/>
              </w:rPr>
            </w:pPr>
            <w:r w:rsidRPr="00A53DE3">
              <w:rPr>
                <w:rFonts w:cs="Times New Roman"/>
                <w:color w:val="auto"/>
              </w:rPr>
              <w:t xml:space="preserve">Conselheiro-Suplente </w:t>
            </w:r>
            <w:proofErr w:type="gramStart"/>
            <w:r w:rsidRPr="00A53DE3">
              <w:rPr>
                <w:rFonts w:cs="Times New Roman"/>
                <w:color w:val="auto"/>
              </w:rPr>
              <w:t>Prof.</w:t>
            </w:r>
            <w:proofErr w:type="gramEnd"/>
            <w:r w:rsidRPr="00A53DE3">
              <w:rPr>
                <w:rFonts w:cs="Times New Roman"/>
                <w:color w:val="auto"/>
              </w:rPr>
              <w:t xml:space="preserve"> Me Luiz Carlos </w:t>
            </w:r>
            <w:proofErr w:type="spellStart"/>
            <w:r w:rsidRPr="00A53DE3">
              <w:rPr>
                <w:rFonts w:cs="Times New Roman"/>
                <w:color w:val="auto"/>
              </w:rPr>
              <w:t>Tramujas</w:t>
            </w:r>
            <w:proofErr w:type="spellEnd"/>
          </w:p>
          <w:p w:rsidR="00875DB7" w:rsidRPr="002E1FE3" w:rsidRDefault="00875DB7" w:rsidP="00695CBC">
            <w:pPr>
              <w:rPr>
                <w:rFonts w:ascii="Arial" w:hAnsi="Arial"/>
              </w:rPr>
            </w:pPr>
          </w:p>
          <w:p w:rsidR="00875DB7" w:rsidRPr="00CF5D84" w:rsidRDefault="00875DB7" w:rsidP="00695CBC">
            <w:pPr>
              <w:rPr>
                <w:rFonts w:cs="Times New Roman"/>
              </w:rPr>
            </w:pPr>
            <w:r w:rsidRPr="00CF5D84">
              <w:rPr>
                <w:rFonts w:cs="Times New Roman"/>
                <w:b/>
              </w:rPr>
              <w:t xml:space="preserve">3 - CONCLUSÃO DA CÂMARA: </w:t>
            </w:r>
            <w:r w:rsidRPr="00CF5D84">
              <w:rPr>
                <w:rFonts w:cs="Times New Roman"/>
              </w:rPr>
              <w:t>A Câmara Conjunta reunida em 2/7/2014 aprova o presente parecer.</w:t>
            </w:r>
          </w:p>
          <w:p w:rsidR="00875DB7" w:rsidRPr="00CF5D84" w:rsidRDefault="00875DB7" w:rsidP="00695CBC">
            <w:pPr>
              <w:rPr>
                <w:rFonts w:cs="Times New Roman"/>
                <w:b/>
              </w:rPr>
            </w:pPr>
          </w:p>
          <w:p w:rsidR="00875DB7" w:rsidRPr="00B24A98" w:rsidRDefault="00875DB7" w:rsidP="00B24A98">
            <w:pPr>
              <w:rPr>
                <w:rFonts w:cs="Times New Roman"/>
                <w:b/>
                <w:lang w:val="pt-PT"/>
              </w:rPr>
            </w:pPr>
            <w:r w:rsidRPr="00CF5D84">
              <w:rPr>
                <w:rFonts w:cs="Times New Roman"/>
                <w:b/>
                <w:lang w:val="pt-PT"/>
              </w:rPr>
              <w:t>4. APROVADO EM SESSÃO PLENÁRIA EXTRAORDINÁRIA de 3 de julho de 2014.</w:t>
            </w:r>
          </w:p>
          <w:p w:rsidR="00875DB7" w:rsidRPr="00CF5D84" w:rsidRDefault="00875DB7" w:rsidP="00695CBC">
            <w:pPr>
              <w:jc w:val="center"/>
              <w:rPr>
                <w:rFonts w:cs="Times New Roman"/>
                <w:lang w:val="pt-PT"/>
              </w:rPr>
            </w:pPr>
            <w:r w:rsidRPr="00CF5D84">
              <w:rPr>
                <w:rFonts w:cs="Times New Roman"/>
                <w:lang w:val="pt-PT"/>
              </w:rPr>
              <w:t>Zaíra Fátima Lopes Chaves</w:t>
            </w:r>
          </w:p>
          <w:p w:rsidR="00875DB7" w:rsidRPr="00CF5D84" w:rsidRDefault="00875DB7" w:rsidP="00695CBC">
            <w:pPr>
              <w:jc w:val="center"/>
              <w:rPr>
                <w:rFonts w:cs="Times New Roman"/>
                <w:lang w:val="pt-PT"/>
              </w:rPr>
            </w:pPr>
            <w:r w:rsidRPr="00CF5D84">
              <w:rPr>
                <w:rFonts w:cs="Times New Roman"/>
                <w:lang w:val="pt-PT"/>
              </w:rPr>
              <w:t>Conselheira-Presidente/CME</w:t>
            </w:r>
          </w:p>
          <w:p w:rsidR="00875DB7" w:rsidRPr="009A0779" w:rsidRDefault="00875DB7" w:rsidP="00695CBC">
            <w:pPr>
              <w:snapToGrid w:val="0"/>
              <w:rPr>
                <w:rFonts w:cs="Times New Roman"/>
                <w:szCs w:val="22"/>
              </w:rPr>
            </w:pPr>
          </w:p>
          <w:p w:rsidR="00875DB7" w:rsidRPr="00415A3D" w:rsidRDefault="00875DB7" w:rsidP="00695CBC">
            <w:pPr>
              <w:autoSpaceDE w:val="0"/>
              <w:autoSpaceDN w:val="0"/>
              <w:adjustRightInd w:val="0"/>
              <w:ind w:left="1" w:firstLine="72"/>
              <w:rPr>
                <w:rFonts w:ascii="Arial" w:hAnsi="Arial"/>
                <w:sz w:val="16"/>
                <w:szCs w:val="16"/>
              </w:rPr>
            </w:pPr>
            <w:r w:rsidRPr="009A0779">
              <w:rPr>
                <w:rFonts w:cs="Times New Roman"/>
                <w:b/>
                <w:szCs w:val="24"/>
              </w:rPr>
              <w:t xml:space="preserve">Publica-se por </w:t>
            </w:r>
            <w:proofErr w:type="gramStart"/>
            <w:r w:rsidRPr="009A0779">
              <w:rPr>
                <w:rFonts w:cs="Times New Roman"/>
                <w:b/>
                <w:szCs w:val="24"/>
              </w:rPr>
              <w:t>Conveniência Técnico</w:t>
            </w:r>
            <w:proofErr w:type="gramEnd"/>
            <w:r w:rsidRPr="009A0779">
              <w:rPr>
                <w:rFonts w:cs="Times New Roman"/>
                <w:b/>
                <w:szCs w:val="24"/>
              </w:rPr>
              <w:t>- Administrativa.</w:t>
            </w:r>
          </w:p>
        </w:tc>
      </w:tr>
    </w:tbl>
    <w:p w:rsidR="009323C9" w:rsidRDefault="009323C9"/>
    <w:sectPr w:rsidR="009323C9" w:rsidSect="00932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55"/>
        </w:tabs>
        <w:ind w:left="13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15"/>
        </w:tabs>
        <w:ind w:left="17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5"/>
        </w:tabs>
        <w:ind w:left="20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5"/>
        </w:tabs>
        <w:ind w:left="27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5"/>
        </w:tabs>
        <w:ind w:left="31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5"/>
        </w:tabs>
        <w:ind w:left="38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5"/>
        </w:tabs>
        <w:ind w:left="4235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E307F4"/>
    <w:multiLevelType w:val="hybridMultilevel"/>
    <w:tmpl w:val="859C58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481512"/>
    <w:multiLevelType w:val="multilevel"/>
    <w:tmpl w:val="F6C0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5DB7"/>
    <w:rsid w:val="004022D7"/>
    <w:rsid w:val="007338BE"/>
    <w:rsid w:val="00875DB7"/>
    <w:rsid w:val="00906263"/>
    <w:rsid w:val="009323C9"/>
    <w:rsid w:val="0099479C"/>
    <w:rsid w:val="00B24A98"/>
    <w:rsid w:val="00B73290"/>
    <w:rsid w:val="00C26D19"/>
    <w:rsid w:val="00E13CCF"/>
    <w:rsid w:val="00E32427"/>
    <w:rsid w:val="00F3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B7"/>
    <w:pPr>
      <w:spacing w:after="0" w:line="240" w:lineRule="auto"/>
      <w:ind w:left="57"/>
      <w:jc w:val="both"/>
    </w:pPr>
    <w:rPr>
      <w:rFonts w:ascii="Times New Roman" w:hAnsi="Times New Roman" w:cs="Arial"/>
      <w:color w:val="000000"/>
      <w:sz w:val="24"/>
      <w:szCs w:val="23"/>
    </w:rPr>
  </w:style>
  <w:style w:type="paragraph" w:styleId="Ttulo1">
    <w:name w:val="heading 1"/>
    <w:basedOn w:val="Normal"/>
    <w:next w:val="Normal"/>
    <w:link w:val="Ttulo1Char"/>
    <w:uiPriority w:val="9"/>
    <w:qFormat/>
    <w:rsid w:val="00875DB7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5DB7"/>
    <w:rPr>
      <w:rFonts w:ascii="Times New Roman" w:eastAsiaTheme="majorEastAsia" w:hAnsi="Times New Roman" w:cstheme="majorBidi"/>
      <w:bCs/>
      <w:sz w:val="24"/>
      <w:szCs w:val="28"/>
    </w:rPr>
  </w:style>
  <w:style w:type="character" w:styleId="Hyperlink">
    <w:name w:val="Hyperlink"/>
    <w:basedOn w:val="Fontepargpadro"/>
    <w:uiPriority w:val="99"/>
    <w:unhideWhenUsed/>
    <w:rsid w:val="00875DB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75DB7"/>
    <w:pPr>
      <w:suppressAutoHyphens/>
      <w:spacing w:after="120"/>
      <w:jc w:val="left"/>
    </w:pPr>
    <w:rPr>
      <w:rFonts w:eastAsia="Times New Roman" w:cs="Times New Roman"/>
      <w:color w:val="auto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75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875DB7"/>
    <w:pPr>
      <w:keepNext/>
      <w:suppressAutoHyphens/>
    </w:pPr>
    <w:rPr>
      <w:rFonts w:eastAsia="SimSun" w:cs="Tahoma"/>
      <w:iCs/>
      <w:color w:val="auto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75DB7"/>
    <w:rPr>
      <w:rFonts w:ascii="Times New Roman" w:eastAsia="SimSun" w:hAnsi="Times New Roman" w:cs="Tahoma"/>
      <w:iCs/>
      <w:sz w:val="24"/>
      <w:szCs w:val="28"/>
      <w:lang w:eastAsia="ar-SA"/>
    </w:rPr>
  </w:style>
  <w:style w:type="paragraph" w:customStyle="1" w:styleId="Textoembloco1">
    <w:name w:val="Texto em bloco1"/>
    <w:basedOn w:val="Normal"/>
    <w:rsid w:val="00875DB7"/>
    <w:pPr>
      <w:suppressAutoHyphens/>
      <w:spacing w:line="360" w:lineRule="auto"/>
      <w:ind w:left="900" w:right="-81" w:hanging="900"/>
    </w:pPr>
    <w:rPr>
      <w:rFonts w:eastAsia="Times New Roman"/>
      <w:color w:val="auto"/>
      <w:szCs w:val="24"/>
      <w:lang w:eastAsia="ar-SA"/>
    </w:rPr>
  </w:style>
  <w:style w:type="paragraph" w:customStyle="1" w:styleId="Recuodecorpodetexto21">
    <w:name w:val="Recuo de corpo de texto 21"/>
    <w:basedOn w:val="Normal"/>
    <w:rsid w:val="00875DB7"/>
    <w:pPr>
      <w:suppressAutoHyphens/>
      <w:ind w:firstLine="709"/>
    </w:pPr>
    <w:rPr>
      <w:rFonts w:eastAsia="Times New Roman"/>
      <w:szCs w:val="24"/>
      <w:lang w:eastAsia="ar-SA"/>
    </w:rPr>
  </w:style>
  <w:style w:type="paragraph" w:styleId="NormalWeb">
    <w:name w:val="Normal (Web)"/>
    <w:basedOn w:val="Normal"/>
    <w:rsid w:val="00875DB7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auto"/>
      <w:szCs w:val="24"/>
      <w:lang w:eastAsia="ar-SA"/>
    </w:rPr>
  </w:style>
  <w:style w:type="paragraph" w:customStyle="1" w:styleId="texto1">
    <w:name w:val="texto1"/>
    <w:basedOn w:val="Normal"/>
    <w:rsid w:val="00875DB7"/>
    <w:pPr>
      <w:suppressAutoHyphens/>
      <w:spacing w:before="280" w:after="280"/>
      <w:jc w:val="left"/>
    </w:pPr>
    <w:rPr>
      <w:rFonts w:eastAsia="Times New Roman" w:cs="Times New Roman"/>
      <w:color w:val="auto"/>
      <w:szCs w:val="24"/>
      <w:lang w:eastAsia="ar-SA"/>
    </w:rPr>
  </w:style>
  <w:style w:type="paragraph" w:styleId="Corpodetexto2">
    <w:name w:val="Body Text 2"/>
    <w:basedOn w:val="Normal"/>
    <w:link w:val="Corpodetexto2Char"/>
    <w:rsid w:val="00875DB7"/>
    <w:pPr>
      <w:spacing w:after="120" w:line="480" w:lineRule="auto"/>
      <w:jc w:val="left"/>
    </w:pPr>
    <w:rPr>
      <w:rFonts w:eastAsia="Times New Roman" w:cs="Times New Roman"/>
      <w:color w:val="auto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75DB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4684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3</cp:revision>
  <dcterms:created xsi:type="dcterms:W3CDTF">2016-07-05T18:13:00Z</dcterms:created>
  <dcterms:modified xsi:type="dcterms:W3CDTF">2016-07-05T18:58:00Z</dcterms:modified>
</cp:coreProperties>
</file>